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A1A2E"/>
          <w:sz w:val="40"/>
          <w:szCs w:val="40"/>
        </w:rPr>
        <w:t xml:space="preserve">TOOLBOX TALK RECORD</w:t>
      </w:r>
    </w:p>
    <w:p>
      <w:pPr>
        <w:spacing w:after="160"/>
      </w:pPr>
      <w:r>
        <w:rPr>
          <w:i/>
          <w:iCs/>
          <w:color w:val="6B7280"/>
          <w:sz w:val="19"/>
          <w:szCs w:val="19"/>
        </w:rPr>
        <w:t xml:space="preserve">One topic, 5–15 minutes, two-way. Record it — the record is your evidence of worker engagement.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shd w:fill="F3F7F8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Date</w:t>
            </w:r>
          </w:p>
        </w:tc>
        <w:tc>
          <w:tcPr>
            <w:tcW w:type="dxa" w:w="6626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shd w:fill="F3F7F8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Site / location</w:t>
            </w:r>
          </w:p>
        </w:tc>
        <w:tc>
          <w:tcPr>
            <w:tcW w:type="dxa" w:w="6626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shd w:fill="F3F7F8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Led by</w:t>
            </w:r>
          </w:p>
        </w:tc>
        <w:tc>
          <w:tcPr>
            <w:tcW w:type="dxa" w:w="6626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shd w:fill="F3F7F8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Topic</w:t>
            </w:r>
          </w:p>
        </w:tc>
        <w:tc>
          <w:tcPr>
            <w:tcW w:type="dxa" w:w="6626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>One focused topic — see the topic list on page 2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shd w:fill="F3F7F8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What was discussed</w:t>
            </w:r>
          </w:p>
        </w:tc>
      </w:tr>
      <w:tr>
        <w:tc>
          <w:tcPr>
            <w:tcW w:type="dxa" w:w="9026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600"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>Key points covered — tie it to today's work, a recent near-miss, or the season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shd w:fill="F3F7F8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Issues or hazards raised by the team</w:t>
            </w:r>
          </w:p>
        </w:tc>
      </w:tr>
      <w:tr>
        <w:tc>
          <w:tcPr>
            <w:tcW w:type="dxa" w:w="9026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after="600"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>What the crew brought up — this is the two-way part that makes the talk worth having</w:t>
            </w:r>
          </w:p>
        </w:tc>
      </w:tr>
    </w:tbl>
    <w:p>
      <w:pPr>
        <w:spacing w:after="120"/>
      </w:pPr>
    </w:p>
    <w:p>
      <w:pPr>
        <w:spacing w:after="100" w:before="60"/>
      </w:pPr>
      <w:r>
        <w:rPr>
          <w:b/>
          <w:bCs/>
          <w:color w:val="1A1A2E"/>
          <w:sz w:val="22"/>
          <w:szCs w:val="22"/>
        </w:rPr>
        <w:t xml:space="preserve">Actions arising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26"/>
        <w:gridCol w:w="2000"/>
        <w:gridCol w:w="1600"/>
        <w:gridCol w:w="800"/>
      </w:tblGrid>
      <w:tr>
        <w:trPr>
          <w:tblHeader/>
        </w:trPr>
        <w:tc>
          <w:tcPr>
            <w:tcW w:type="dxa" w:w="4626"/>
            <w:shd w:fill="00AEB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  <w:tc>
          <w:tcPr>
            <w:tcW w:type="dxa" w:w="2000"/>
            <w:shd w:fill="00AEB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Who</w:t>
            </w:r>
          </w:p>
        </w:tc>
        <w:tc>
          <w:tcPr>
            <w:tcW w:type="dxa" w:w="1600"/>
            <w:shd w:fill="00AEB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By when</w:t>
            </w:r>
          </w:p>
        </w:tc>
        <w:tc>
          <w:tcPr>
            <w:tcW w:type="dxa" w:w="800"/>
            <w:shd w:fill="00AEB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Done</w:t>
            </w:r>
          </w:p>
        </w:tc>
      </w:tr>
      <w:tr>
        <w:tc>
          <w:tcPr>
            <w:tcW w:type="dxa" w:w="4626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26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26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200"/>
      </w:pPr>
      <w:r>
        <w:rPr>
          <w:b/>
          <w:bCs/>
          <w:color w:val="1A1A2E"/>
          <w:sz w:val="22"/>
          <w:szCs w:val="22"/>
        </w:rPr>
        <w:t xml:space="preserve">Attendees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rPr>
          <w:tblHeader/>
        </w:trPr>
        <w:tc>
          <w:tcPr>
            <w:tcW w:type="dxa" w:w="4513"/>
            <w:shd w:fill="00AEB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4513"/>
            <w:shd w:fill="00AEB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Signature</w:t>
            </w:r>
          </w:p>
        </w:tc>
      </w:tr>
      <w:tr>
        <w:tc>
          <w:tcPr>
            <w:tcW w:type="dxa" w:w="4513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spacing w:after="140" w:before="300"/>
      </w:pPr>
      <w:r>
        <w:rPr>
          <w:b/>
          <w:bCs/>
          <w:color w:val="1A1A2E"/>
          <w:sz w:val="30"/>
          <w:szCs w:val="30"/>
        </w:rPr>
        <w:t xml:space="preserve">How to run a toolbox talk that lands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color w:val="374151"/>
          <w:sz w:val="21"/>
          <w:szCs w:val="21"/>
        </w:rPr>
        <w:t xml:space="preserve">Pick one topic tied to today — the job ahead, a recent near-miss, the season, or something a worker raised last week.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color w:val="374151"/>
          <w:sz w:val="21"/>
          <w:szCs w:val="21"/>
        </w:rPr>
        <w:t xml:space="preserve">Keep it to 5–15 minutes. One topic people remember beats five they don't.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color w:val="374151"/>
          <w:sz w:val="21"/>
          <w:szCs w:val="21"/>
        </w:rPr>
        <w:t xml:space="preserve">Make it a conversation — ask what could go wrong today, invite war stories. If only the leader talks, it isn't working.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color w:val="374151"/>
          <w:sz w:val="21"/>
          <w:szCs w:val="21"/>
        </w:rPr>
        <w:t xml:space="preserve">Capture actions with a name and a date. A talk that surfaces a problem and assigns nobody fixes nothing.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color w:val="374151"/>
          <w:sz w:val="21"/>
          <w:szCs w:val="21"/>
        </w:rPr>
        <w:t xml:space="preserve">Record topic, date and attendees — that record is what pre-qualification assessors and main contractors ask to see.</w:t>
      </w:r>
    </w:p>
    <w:p>
      <w:pPr>
        <w:pStyle w:val="Heading1"/>
        <w:spacing w:after="140" w:before="300"/>
      </w:pPr>
      <w:r>
        <w:rPr>
          <w:b/>
          <w:bCs/>
          <w:color w:val="1A1A2E"/>
          <w:sz w:val="30"/>
          <w:szCs w:val="30"/>
        </w:rPr>
        <w:t xml:space="preserve">50 toolbox talk topics for NZ sites</w:t>
      </w:r>
    </w:p>
    <w:p>
      <w:pPr>
        <w:spacing w:after="160"/>
      </w:pPr>
      <w:r>
        <w:rPr>
          <w:i/>
          <w:iCs/>
          <w:color w:val="6B7280"/>
          <w:sz w:val="19"/>
          <w:szCs w:val="19"/>
        </w:rPr>
        <w:t xml:space="preserve">Rotate through what matches your real risks and the work coming up. Relevance is what makes a talk land.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9"/>
        <w:gridCol w:w="3009"/>
        <w:gridCol w:w="3008"/>
      </w:tblGrid>
      <w:tr>
        <w:tc>
          <w:tcPr>
            <w:tcW w:type="dxa" w:w="3009"/>
            <w:shd w:fill="00AEB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General site</w:t>
            </w:r>
          </w:p>
        </w:tc>
        <w:tc>
          <w:tcPr>
            <w:tcW w:type="dxa" w:w="3009"/>
            <w:shd w:fill="00AEB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Working at height</w:t>
            </w:r>
          </w:p>
        </w:tc>
        <w:tc>
          <w:tcPr>
            <w:tcW w:type="dxa" w:w="3009"/>
            <w:shd w:fill="00AEB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Vehicles &amp; plant</w:t>
            </w:r>
          </w:p>
        </w:tc>
      </w:tr>
      <w:tr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Slips, trips and falls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Ladder safety and checks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Mobile plant blind spots</w:t>
            </w:r>
          </w:p>
        </w:tc>
      </w:tr>
      <w:tr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Housekeeping and site tidiness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Edge protection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Vehicle pre-start checks</w:t>
            </w:r>
          </w:p>
        </w:tc>
      </w:tr>
      <w:tr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Manual handling and lifting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Harness use and inspection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Reversing and spotters</w:t>
            </w:r>
          </w:p>
        </w:tc>
      </w:tr>
      <w:tr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PPE — what, when, condition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Roof work planning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Loading and securing loads</w:t>
            </w:r>
          </w:p>
        </w:tc>
      </w:tr>
      <w:tr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Reporting near-misses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Scaffold checks and tags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Working near overhead lines</w:t>
            </w:r>
          </w:p>
        </w:tc>
      </w:tr>
      <w:tr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Emergency procedures refresher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Falling objects and exclusion zones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Traffic management on site</w:t>
            </w:r>
          </w:p>
        </w:tc>
      </w:tr>
      <w:tr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First aid — kit location, who's trained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Mobile elevated work platforms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Towing and trailers</w:t>
            </w:r>
          </w:p>
        </w:tc>
      </w:tr>
      <w:tr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New workers and site inductions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Fragile surfaces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Fuel handling and refuelling</w:t>
            </w:r>
          </w:p>
        </w:tc>
      </w:tr>
      <w:tr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/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/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9"/>
            <w:shd w:fill="00AEB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Tools &amp; tasks</w:t>
            </w:r>
          </w:p>
        </w:tc>
        <w:tc>
          <w:tcPr>
            <w:tcW w:type="dxa" w:w="3009"/>
            <w:shd w:fill="00AEB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Health &amp; environment</w:t>
            </w:r>
          </w:p>
        </w:tc>
        <w:tc>
          <w:tcPr>
            <w:tcW w:type="dxa" w:w="3009"/>
            <w:shd w:fill="00AEBD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People</w:t>
            </w:r>
          </w:p>
        </w:tc>
      </w:tr>
      <w:tr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Power tool checks and guards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Sun exposure and hydration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Fatigue and long weeks</w:t>
            </w:r>
          </w:p>
        </w:tc>
      </w:tr>
      <w:tr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Hot works and fire prevention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Cold, wet weather work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Mental health — checking in</w:t>
            </w:r>
          </w:p>
        </w:tc>
      </w:tr>
      <w:tr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Electrical safety and test-and-tag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Noise and hearing protection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Drugs and alcohol on site</w:t>
            </w:r>
          </w:p>
        </w:tc>
      </w:tr>
      <w:tr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Hazardous substances and SDS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Dust and respiratory protection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New or young workers</w:t>
            </w:r>
          </w:p>
        </w:tc>
      </w:tr>
      <w:tr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Excavation and services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Asbestos awareness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Working alone</w:t>
            </w:r>
          </w:p>
        </w:tc>
      </w:tr>
      <w:tr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Confined spaces awareness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Silica dust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Communication between trades</w:t>
            </w:r>
          </w:p>
        </w:tc>
      </w:tr>
      <w:tr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Lock-out / tag-out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Vibration (hand-arm)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Raising concerns without blame</w:t>
            </w:r>
          </w:p>
        </w:tc>
      </w:tr>
      <w:tr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Knife and blade safety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Wasps, dogs and site pests</w:t>
            </w:r>
          </w:p>
        </w:tc>
        <w:tc>
          <w:tcPr>
            <w:tcW w:type="dxa" w:w="3009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color w:val="374151"/>
                <w:sz w:val="19"/>
                <w:szCs w:val="19"/>
              </w:rPr>
              <w:t xml:space="preserve">End-of-year / holiday-rush pressure</w:t>
            </w:r>
          </w:p>
        </w:tc>
      </w:tr>
    </w:tbl>
    <w:p>
      <w:pPr>
        <w:spacing w:before="300"/>
      </w:pPr>
    </w:p>
    <w:p>
      <w:pPr>
        <w:pBdr>
          <w:top w:val="single" w:color="D1D5DB" w:sz="4"/>
        </w:pBdr>
        <w:spacing w:after="60" w:before="200"/>
      </w:pPr>
      <w:r>
        <w:rPr>
          <w:b/>
          <w:bCs/>
          <w:color w:val="1A1A2E"/>
          <w:sz w:val="20"/>
          <w:szCs w:val="20"/>
        </w:rPr>
        <w:t xml:space="preserve">About this template</w:t>
      </w:r>
    </w:p>
    <w:p>
      <w:r>
        <w:rPr>
          <w:i/>
          <w:iCs/>
          <w:color w:val="6B7280"/>
          <w:sz w:val="18"/>
          <w:szCs w:val="18"/>
        </w:rPr>
        <w:t xml:space="preserve">Free template from ThinkSafe (thinksafe.co.nz) for New Zealand businesses. If you'd rather run toolbox talks from your phone — topic, notes, actions and signatures captured on site, automatically dated and filed against the site — that's what the ThinkSafe app does. Free 14-day trial at thinksafe.co.nz.</w:t>
      </w:r>
    </w:p>
    <w:sectPr>
      <w:footerReference w:type="default" r:id="rId7"/>
      <w:pgSz w:w="11906" w:h="16838" w:orient="portrait"/>
      <w:pgMar w:top="1100" w:right="1440" w:bottom="11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7280"/>
        <w:sz w:val="17"/>
        <w:szCs w:val="17"/>
      </w:rPr>
      <w:t xml:space="preserve">Free toolbox talk template from ThinkSafe · thinksafe.co.nz · Page </w:t>
    </w:r>
    <w:r>
      <w:rPr>
        <w:color w:val="6B7280"/>
        <w:sz w:val="17"/>
        <w:szCs w:val="17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1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74151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2026-07-06T03:30:08.510Z</dcterms:created>
  <dcterms:modified xsi:type="dcterms:W3CDTF">2026-07-06T03:30:08.525Z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